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ROSAC0131ZPB</w:t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i w:val="1"/>
          <w:iCs w:val="1"/>
          <w:color w:val="808080"/>
          <w:sz w:val="22"/>
          <w:szCs w:val="22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bookmarkStart w:colFirst="0" w:colLast="0" w:name="_heading=h.87avvbclwirh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Oltenița - Mostiștea - Chiciu</w:t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☑</w:t>
      </w:r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bookmarkStart w:colFirst="0" w:colLast="0" w:name="_heading=h.6zysnae3s6wd" w:id="1"/>
      <w:bookmarkEnd w:id="1"/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</w:p>
    <w:p w:rsidR="00000000" w:rsidDel="00000000" w:rsidP="00000000" w:rsidRDefault="00000000" w:rsidRPr="00000000" w14:paraId="0000000F">
      <w:pP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2"/>
          <w:szCs w:val="22"/>
        </w:rPr>
      </w:pPr>
      <w:bookmarkStart w:colFirst="0" w:colLast="0" w:name="_heading=h.akw96xd7nvmv" w:id="2"/>
      <w:bookmarkEnd w:id="2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:rsidR="00000000" w:rsidDel="00000000" w:rsidP="00000000" w:rsidRDefault="00000000" w:rsidRPr="00000000" w14:paraId="00000031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4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240,03</w:t>
      </w:r>
    </w:p>
    <w:p w:rsidR="00000000" w:rsidDel="00000000" w:rsidP="00000000" w:rsidRDefault="00000000" w:rsidRPr="00000000" w14:paraId="0000004A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2,08%</w:t>
      </w:r>
    </w:p>
    <w:p w:rsidR="00000000" w:rsidDel="00000000" w:rsidP="00000000" w:rsidRDefault="00000000" w:rsidRPr="00000000" w14:paraId="0000004C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60"/>
        <w:gridCol w:w="443"/>
        <w:gridCol w:w="5377"/>
        <w:tblGridChange w:id="0">
          <w:tblGrid>
            <w:gridCol w:w="3160"/>
            <w:gridCol w:w="443"/>
            <w:gridCol w:w="537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RO31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Sud-Muntenia</w:t>
            </w:r>
          </w:p>
        </w:tc>
      </w:tr>
    </w:tbl>
    <w:p w:rsidR="00000000" w:rsidDel="00000000" w:rsidP="00000000" w:rsidRDefault="00000000" w:rsidRPr="00000000" w14:paraId="0000005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</w:p>
    <w:p w:rsidR="00000000" w:rsidDel="00000000" w:rsidP="00000000" w:rsidRDefault="00000000" w:rsidRPr="00000000" w14:paraId="0000005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Călărași</w:t>
      </w:r>
    </w:p>
    <w:p w:rsidR="00000000" w:rsidDel="00000000" w:rsidP="00000000" w:rsidRDefault="00000000" w:rsidRPr="00000000" w14:paraId="0000005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Ind w:w="10.0" w:type="dxa"/>
        <w:tblLayout w:type="fixed"/>
        <w:tblLook w:val="0400"/>
      </w:tblPr>
      <w:tblGrid>
        <w:gridCol w:w="2928"/>
        <w:gridCol w:w="47"/>
        <w:gridCol w:w="3002"/>
        <w:gridCol w:w="47"/>
        <w:gridCol w:w="2956"/>
        <w:tblGridChange w:id="0">
          <w:tblGrid>
            <w:gridCol w:w="2928"/>
            <w:gridCol w:w="47"/>
            <w:gridCol w:w="3002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%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☑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100%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</w:p>
        </w:tc>
      </w:tr>
    </w:tbl>
    <w:p w:rsidR="00000000" w:rsidDel="00000000" w:rsidP="00000000" w:rsidRDefault="00000000" w:rsidRPr="00000000" w14:paraId="0000006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7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240,03</w:t>
      </w:r>
    </w:p>
    <w:p w:rsidR="00000000" w:rsidDel="00000000" w:rsidP="00000000" w:rsidRDefault="00000000" w:rsidRPr="00000000" w14:paraId="00000071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73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Legea nr. 5/2000 privind aprobarea Planului de amenajare a teritoriului național – Secțiunea a III-a – zone protejate, cu modificările și completările ulterioare: RONPA0871 Ostrovul Haralambie, RONPA0872 Ostrovul Ciocănești;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Hotărârea Guvernului României nr. 2151/2004 privind instituirea regimului de arie naturală protejată pentru noi zone*): Ostrovul Haralambie, Ostrovul Ciocănești;</w:t>
      </w:r>
    </w:p>
    <w:p w:rsidR="00000000" w:rsidDel="00000000" w:rsidP="00000000" w:rsidRDefault="00000000" w:rsidRPr="00000000" w14:paraId="0000007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7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64.0" w:type="dxa"/>
        <w:jc w:val="left"/>
        <w:tblInd w:w="10.0" w:type="dxa"/>
        <w:tblLayout w:type="fixed"/>
        <w:tblLook w:val="0400"/>
      </w:tblPr>
      <w:tblGrid>
        <w:gridCol w:w="4388"/>
        <w:gridCol w:w="4576"/>
        <w:tblGridChange w:id="0">
          <w:tblGrid>
            <w:gridCol w:w="4388"/>
            <w:gridCol w:w="4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mediteraneene caducifoliate: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92A0 Zăvoaie cu Salix alba și Populus alba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1355 Lutra lutra 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Păsări: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A136 Charadrius dubius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A196 Chlidonias hybridus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A031 Ciconia ciconia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A083 Circus macrourus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A177 Larus minutus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A179 Larus ridibundus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A151 Philomachus pugnax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A193 Sterna hirundo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Pădurile cu naturalitate ridicată constituie un rezervor important de carbon și contribuie la reglarea climatului local.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criteriile stabilite de metodologie pentru pădurile încadrate în tipul funcțional T1 și rezervațiile naturale.</w:t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Sub-blocul de habitate al ZPB găzduiește, de asemenea, populații semnificative de specii de păsări de interes conservativ (de interes comunitar conform Directivei Păsări).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tabs>
                <w:tab w:val="left" w:leader="none" w:pos="2760"/>
              </w:tabs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I01 Specii invazive non-native(alogene)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8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recoltări neautorizate.</w:t>
            </w:r>
          </w:p>
          <w:p w:rsidR="00000000" w:rsidDel="00000000" w:rsidP="00000000" w:rsidRDefault="00000000" w:rsidRPr="00000000" w14:paraId="0000009A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B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Activități de cercetare și educație cu impact redus: cercetarea științifică și educația sunt admise doar dacă nu produc perturbări semnificative, fiind impuse reguli de acces și metode cu impact minim.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de stat </w:t>
            </w:r>
          </w:p>
        </w:tc>
      </w:tr>
    </w:tbl>
    <w:p w:rsidR="00000000" w:rsidDel="00000000" w:rsidP="00000000" w:rsidRDefault="00000000" w:rsidRPr="00000000" w14:paraId="000000A2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Marin, A. (2019). Studiul morfodinamicii ostroavelor în relație cu factorii de control fluviali prin tehnici geospațiale. Aplicație în sectorul dunărean Giurgiu-Oltenița. Editura Universitară. ISBN: 978-606-28-0967-6.</w:t>
      </w:r>
    </w:p>
    <w:p w:rsidR="00000000" w:rsidDel="00000000" w:rsidP="00000000" w:rsidRDefault="00000000" w:rsidRPr="00000000" w14:paraId="000000A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Munteanu, C., Gheorghe, I. F., Plăiașu, R. (2009). Flora și fauna ostroavelor de pe Dunăre. Editura Green Steps. ISBN: 978-606-92081-2-0.</w:t>
      </w:r>
    </w:p>
    <w:p w:rsidR="00000000" w:rsidDel="00000000" w:rsidP="00000000" w:rsidRDefault="00000000" w:rsidRPr="00000000" w14:paraId="000000A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</w:p>
    <w:p w:rsidR="00000000" w:rsidDel="00000000" w:rsidP="00000000" w:rsidRDefault="00000000" w:rsidRPr="00000000" w14:paraId="000000A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2c2v9hg09qb6" w:id="3"/>
      <w:bookmarkEnd w:id="3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realizate: Ulterior, în cadrul procesului de consultare extins la nivel național, au avut loc consultări suplimentară online în data de 10 decembrie 2025 cu participarea factorilor interesați relevanți din județul Călărași.</w:t>
      </w:r>
    </w:p>
    <w:p w:rsidR="00000000" w:rsidDel="00000000" w:rsidP="00000000" w:rsidRDefault="00000000" w:rsidRPr="00000000" w14:paraId="000000A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</w:t>
      </w:r>
    </w:p>
    <w:p w:rsidR="00000000" w:rsidDel="00000000" w:rsidP="00000000" w:rsidRDefault="00000000" w:rsidRPr="00000000" w14:paraId="000000AF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m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ROWvSKSHRZSPMOzqtDm6luwiBQ==">CgMxLjAyDmguODdhdnZiY2x3aXJoMg5oLjZ6eXNuYWUzczZ3ZDIOaC5ha3c5NnhkN252bXYyDmguMmMydjloZzA5cWI2OAByITF5SlhpS1c2bjdhblYzdnNRQXFock11ZXkyZzh3MnFhOQ==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